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D0" w:rsidRDefault="00345DD0" w:rsidP="0063781B">
      <w:pPr>
        <w:autoSpaceDE w:val="0"/>
        <w:autoSpaceDN w:val="0"/>
        <w:adjustRightInd w:val="0"/>
        <w:ind w:right="-1"/>
        <w:jc w:val="right"/>
        <w:rPr>
          <w:rFonts w:ascii="Segoe UI" w:hAnsi="Segoe UI" w:cs="Segoe UI"/>
          <w:b/>
          <w:sz w:val="32"/>
          <w:szCs w:val="32"/>
        </w:rPr>
      </w:pPr>
    </w:p>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57729D" w:rsidRPr="00552222" w:rsidRDefault="0057729D" w:rsidP="00552222">
      <w:pPr>
        <w:autoSpaceDE w:val="0"/>
        <w:spacing w:line="276" w:lineRule="auto"/>
        <w:rPr>
          <w:rFonts w:ascii="Segoe UI" w:eastAsiaTheme="majorEastAsia" w:hAnsi="Segoe UI" w:cs="Segoe UI"/>
          <w:b/>
          <w:bCs/>
          <w:color w:val="000000" w:themeColor="text1"/>
          <w:sz w:val="32"/>
          <w:szCs w:val="32"/>
        </w:rPr>
      </w:pPr>
    </w:p>
    <w:p w:rsidR="00552222" w:rsidRPr="00552222" w:rsidRDefault="005853CB" w:rsidP="00552222">
      <w:pPr>
        <w:autoSpaceDE w:val="0"/>
        <w:spacing w:line="276" w:lineRule="auto"/>
        <w:jc w:val="center"/>
        <w:rPr>
          <w:rFonts w:ascii="Segoe UI" w:eastAsiaTheme="majorEastAsia" w:hAnsi="Segoe UI" w:cs="Segoe UI"/>
          <w:b/>
          <w:bCs/>
          <w:color w:val="000000" w:themeColor="text1"/>
          <w:sz w:val="32"/>
          <w:szCs w:val="32"/>
        </w:rPr>
      </w:pPr>
      <w:bookmarkStart w:id="0" w:name="_GoBack"/>
      <w:r w:rsidRPr="005853CB">
        <w:rPr>
          <w:rFonts w:ascii="Segoe UI" w:eastAsiaTheme="majorEastAsia" w:hAnsi="Segoe UI" w:cs="Segoe UI"/>
          <w:b/>
          <w:bCs/>
          <w:color w:val="000000" w:themeColor="text1"/>
          <w:sz w:val="32"/>
          <w:szCs w:val="32"/>
        </w:rPr>
        <w:t>Оформить права на квартиру в новостройке станет проще</w:t>
      </w:r>
    </w:p>
    <w:bookmarkEnd w:id="0"/>
    <w:p w:rsidR="00936543" w:rsidRDefault="00936543" w:rsidP="00936543">
      <w:pPr>
        <w:ind w:firstLine="708"/>
        <w:jc w:val="both"/>
        <w:outlineLvl w:val="0"/>
        <w:rPr>
          <w:rFonts w:ascii="Segoe UI" w:eastAsia="Calibri" w:hAnsi="Segoe UI" w:cs="Segoe UI"/>
          <w:noProof/>
          <w:lang w:eastAsia="ru-RU"/>
        </w:rPr>
      </w:pP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94615</wp:posOffset>
            </wp:positionV>
            <wp:extent cx="2905125" cy="1800225"/>
            <wp:effectExtent l="19050" t="0" r="9525" b="0"/>
            <wp:wrapTight wrapText="bothSides">
              <wp:wrapPolygon edited="0">
                <wp:start x="-142" y="0"/>
                <wp:lineTo x="-142" y="21486"/>
                <wp:lineTo x="21671" y="21486"/>
                <wp:lineTo x="21671" y="0"/>
                <wp:lineTo x="-142" y="0"/>
              </wp:wrapPolygon>
            </wp:wrapTight>
            <wp:docPr id="2" name="Рисунок 1" descr="T:\Отдел контроля и анализа деятельности\1-3\СМИ\9-ФОТО, КАРТИНКИ\Календари, картинки\Картинки\Новостро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Отдел контроля и анализа деятельности\1-3\СМИ\9-ФОТО, КАРТИНКИ\Календари, картинки\Картинки\Новостройка.jpg"/>
                    <pic:cNvPicPr>
                      <a:picLocks noChangeAspect="1" noChangeArrowheads="1"/>
                    </pic:cNvPicPr>
                  </pic:nvPicPr>
                  <pic:blipFill>
                    <a:blip r:embed="rId8" cstate="print"/>
                    <a:srcRect/>
                    <a:stretch>
                      <a:fillRect/>
                    </a:stretch>
                  </pic:blipFill>
                  <pic:spPr bwMode="auto">
                    <a:xfrm>
                      <a:off x="0" y="0"/>
                      <a:ext cx="2905125" cy="1800225"/>
                    </a:xfrm>
                    <a:prstGeom prst="rect">
                      <a:avLst/>
                    </a:prstGeom>
                    <a:noFill/>
                    <a:ln w="9525">
                      <a:noFill/>
                      <a:miter lim="800000"/>
                      <a:headEnd/>
                      <a:tailEnd/>
                    </a:ln>
                  </pic:spPr>
                </pic:pic>
              </a:graphicData>
            </a:graphic>
          </wp:anchor>
        </w:drawing>
      </w:r>
      <w:r w:rsidRPr="005853CB">
        <w:rPr>
          <w:rFonts w:ascii="Segoe UI" w:eastAsia="Calibri" w:hAnsi="Segoe UI" w:cs="Segoe UI"/>
          <w:noProof/>
          <w:lang w:eastAsia="ru-RU"/>
        </w:rPr>
        <w:t>С 1 июля 2019 года в России начинает действовать правило обязательного использования эскроу-счетов: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По мнению экспертов Федеральной Кадастровой палаты, новая инвестиционная модель упростит гражданам задачу по оформлению собственности в новостройке.</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Согласно новым правилам, покупатели квартир больше не перечисляют деньги застройщику, а хранят средства на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говорит эксперт Федеральной кадастровой палаты Росреестра Надежда Лещенко. </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 общедомовом имуществе, машино-местах,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«Благодаря новой инвестиционной схеме </w:t>
      </w:r>
      <w:r w:rsidRPr="005853CB">
        <w:rPr>
          <w:rFonts w:ascii="Segoe UI" w:eastAsia="Calibri" w:hAnsi="Segoe UI" w:cs="Segoe UI"/>
          <w:noProof/>
          <w:lang w:eastAsia="ru-RU"/>
        </w:rPr>
        <w:lastRenderedPageBreak/>
        <w:t xml:space="preserve">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Надежда Лещенко.  </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Надежда Лещенко. – При этом обязательно надо представить договор долевого участия и акт приема-передачи».</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машино-места, будет продано без использования эскроу-счетов. Готовность объекта может составлять 15%, если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 </w:t>
      </w:r>
    </w:p>
    <w:p w:rsidR="005853CB" w:rsidRPr="005853CB"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 xml:space="preserve">«В то же время закон предусматривает возможность заключать договоры долевого участия без использования эскроу-счетов и после 1 июля 2019 года – для девелоперов, чьи проекты частично завершены.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 отмечает эксперт. </w:t>
      </w:r>
    </w:p>
    <w:p w:rsidR="001A32EC" w:rsidRPr="00936543" w:rsidRDefault="005853CB" w:rsidP="005853CB">
      <w:pPr>
        <w:ind w:firstLine="708"/>
        <w:jc w:val="both"/>
        <w:outlineLvl w:val="0"/>
        <w:rPr>
          <w:rFonts w:ascii="Segoe UI" w:eastAsia="Calibri" w:hAnsi="Segoe UI" w:cs="Segoe UI"/>
          <w:noProof/>
          <w:lang w:eastAsia="ru-RU"/>
        </w:rPr>
      </w:pPr>
      <w:r w:rsidRPr="005853CB">
        <w:rPr>
          <w:rFonts w:ascii="Segoe UI" w:eastAsia="Calibri" w:hAnsi="Segoe UI" w:cs="Segoe UI"/>
          <w:noProof/>
          <w:lang w:eastAsia="ru-RU"/>
        </w:rPr>
        <w:t>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м² на территории 4 субъектов РФ, строительная готовность объекта может составлять 6%. Такая же планка установлена для застройщиков, взявших на себя обязательства по завершению долевого долгостроя вместо компаний-банкротов. Постановление также предусматривает право регионов устанавливать собственные критерии и случаи их применения, при условии предоставления финансовых гарантий завершения строительства, которое велось без использования эскроу-счетов.</w:t>
      </w:r>
    </w:p>
    <w:sectPr w:rsidR="001A32EC" w:rsidRPr="00936543" w:rsidSect="00667AD4">
      <w:footerReference w:type="default" r:id="rId9"/>
      <w:pgSz w:w="11906" w:h="16838"/>
      <w:pgMar w:top="567"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F5" w:rsidRDefault="00BD5CF5" w:rsidP="00CD085E">
      <w:r>
        <w:separator/>
      </w:r>
    </w:p>
  </w:endnote>
  <w:endnote w:type="continuationSeparator" w:id="0">
    <w:p w:rsidR="00BD5CF5" w:rsidRDefault="00BD5CF5" w:rsidP="00CD0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F5" w:rsidRDefault="00BD5CF5">
    <w:pPr>
      <w:pStyle w:val="a4"/>
    </w:pPr>
    <w:r>
      <w:rPr>
        <w:sz w:val="16"/>
        <w:szCs w:val="16"/>
      </w:rPr>
      <w:t xml:space="preserve">Филиал ФГБУ «ФКП </w:t>
    </w:r>
    <w:proofErr w:type="spellStart"/>
    <w:r>
      <w:rPr>
        <w:sz w:val="16"/>
        <w:szCs w:val="16"/>
      </w:rPr>
      <w:t>Росреестра</w:t>
    </w:r>
    <w:proofErr w:type="spellEnd"/>
    <w:r>
      <w:rPr>
        <w:sz w:val="16"/>
        <w:szCs w:val="16"/>
      </w:rPr>
      <w:t>» по КК</w:t>
    </w:r>
  </w:p>
  <w:p w:rsidR="00BD5CF5" w:rsidRDefault="0024040A">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6714F3">
      <w:rPr>
        <w:noProof/>
        <w:sz w:val="16"/>
        <w:szCs w:val="16"/>
      </w:rPr>
      <w:t>28.06.2019</w:t>
    </w:r>
    <w:r>
      <w:rPr>
        <w:sz w:val="16"/>
        <w:szCs w:val="16"/>
      </w:rPr>
      <w:fldChar w:fldCharType="end"/>
    </w:r>
    <w:r w:rsidR="00BD5CF5">
      <w:rPr>
        <w:sz w:val="16"/>
        <w:szCs w:val="16"/>
      </w:rPr>
      <w:t xml:space="preserve"> </w:t>
    </w:r>
    <w:r>
      <w:rPr>
        <w:sz w:val="16"/>
        <w:szCs w:val="16"/>
      </w:rPr>
      <w:fldChar w:fldCharType="begin"/>
    </w:r>
    <w:r w:rsidR="00BD5CF5">
      <w:rPr>
        <w:sz w:val="16"/>
        <w:szCs w:val="16"/>
      </w:rPr>
      <w:instrText xml:space="preserve"> TIME \@"H:mm:ss" </w:instrText>
    </w:r>
    <w:r>
      <w:rPr>
        <w:sz w:val="16"/>
        <w:szCs w:val="16"/>
      </w:rPr>
      <w:fldChar w:fldCharType="separate"/>
    </w:r>
    <w:r w:rsidR="006714F3">
      <w:rPr>
        <w:noProof/>
        <w:sz w:val="16"/>
        <w:szCs w:val="16"/>
      </w:rPr>
      <w:t>10:59:58</w:t>
    </w:r>
    <w:r>
      <w:rPr>
        <w:sz w:val="16"/>
        <w:szCs w:val="16"/>
      </w:rPr>
      <w:fldChar w:fldCharType="end"/>
    </w:r>
    <w:r w:rsidR="00BD5CF5">
      <w:rPr>
        <w:sz w:val="16"/>
        <w:szCs w:val="16"/>
      </w:rPr>
      <w:t xml:space="preserve">                                                                            </w:t>
    </w:r>
    <w:r w:rsidR="00BD5CF5">
      <w:rPr>
        <w:sz w:val="16"/>
        <w:szCs w:val="16"/>
      </w:rPr>
      <w:tab/>
      <w:t xml:space="preserve">              </w:t>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6714F3">
      <w:rPr>
        <w:rStyle w:val="a3"/>
        <w:noProof/>
        <w:sz w:val="16"/>
        <w:szCs w:val="16"/>
      </w:rPr>
      <w:t>1</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6714F3">
      <w:rPr>
        <w:rStyle w:val="a3"/>
        <w:noProof/>
        <w:sz w:val="16"/>
        <w:szCs w:val="16"/>
      </w:rPr>
      <w:t>2</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F5" w:rsidRDefault="00BD5CF5" w:rsidP="00CD085E">
      <w:r>
        <w:separator/>
      </w:r>
    </w:p>
  </w:footnote>
  <w:footnote w:type="continuationSeparator" w:id="0">
    <w:p w:rsidR="00BD5CF5" w:rsidRDefault="00BD5CF5" w:rsidP="00CD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40A"/>
    <w:rsid w:val="00240A3B"/>
    <w:rsid w:val="002427C1"/>
    <w:rsid w:val="00243C44"/>
    <w:rsid w:val="0024616A"/>
    <w:rsid w:val="0024640C"/>
    <w:rsid w:val="0025211A"/>
    <w:rsid w:val="00262BB2"/>
    <w:rsid w:val="002650A1"/>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77C3"/>
    <w:rsid w:val="00547E16"/>
    <w:rsid w:val="00552222"/>
    <w:rsid w:val="00553583"/>
    <w:rsid w:val="005710ED"/>
    <w:rsid w:val="00573B5D"/>
    <w:rsid w:val="005753EA"/>
    <w:rsid w:val="00575DCD"/>
    <w:rsid w:val="0057729D"/>
    <w:rsid w:val="005853CB"/>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14F3"/>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48C2"/>
    <w:rsid w:val="0087509F"/>
    <w:rsid w:val="008876F9"/>
    <w:rsid w:val="008927D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93C96"/>
    <w:rsid w:val="00BA2CBD"/>
    <w:rsid w:val="00BA2D11"/>
    <w:rsid w:val="00BA4F7F"/>
    <w:rsid w:val="00BA7311"/>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92"/>
    <w:rsid w:val="00EE2DD3"/>
    <w:rsid w:val="00EE59DA"/>
    <w:rsid w:val="00EE5EDD"/>
    <w:rsid w:val="00EE7B00"/>
    <w:rsid w:val="00F079C0"/>
    <w:rsid w:val="00F07C64"/>
    <w:rsid w:val="00F11A1B"/>
    <w:rsid w:val="00F2165F"/>
    <w:rsid w:val="00F24965"/>
    <w:rsid w:val="00F43C66"/>
    <w:rsid w:val="00F622BB"/>
    <w:rsid w:val="00F7328C"/>
    <w:rsid w:val="00F744A2"/>
    <w:rsid w:val="00F82208"/>
    <w:rsid w:val="00F84C1E"/>
    <w:rsid w:val="00F93CDE"/>
    <w:rsid w:val="00FB5382"/>
    <w:rsid w:val="00FD0DC5"/>
    <w:rsid w:val="00FD782E"/>
    <w:rsid w:val="00FE144B"/>
    <w:rsid w:val="00FF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967E-DFDF-4FB7-B733-C46E3BA9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Липинская</cp:lastModifiedBy>
  <cp:revision>4</cp:revision>
  <cp:lastPrinted>2019-06-28T03:59:00Z</cp:lastPrinted>
  <dcterms:created xsi:type="dcterms:W3CDTF">2019-06-28T03:35:00Z</dcterms:created>
  <dcterms:modified xsi:type="dcterms:W3CDTF">2019-06-28T04:00:00Z</dcterms:modified>
</cp:coreProperties>
</file>