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66" w:rsidRPr="00382A40" w:rsidRDefault="00792266" w:rsidP="0079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A40">
        <w:rPr>
          <w:rFonts w:ascii="Arial" w:eastAsia="Times New Roman" w:hAnsi="Arial" w:cs="Times New Roman"/>
          <w:color w:val="000000"/>
          <w:sz w:val="19"/>
          <w:szCs w:val="19"/>
          <w:lang w:eastAsia="ru-RU"/>
        </w:rPr>
        <w:t>﻿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382A40" w:rsidRPr="00382A40" w:rsidTr="00792266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382A40" w:rsidRPr="00382A40" w:rsidTr="00384A79">
              <w:tc>
                <w:tcPr>
                  <w:tcW w:w="9571" w:type="dxa"/>
                </w:tcPr>
                <w:p w:rsidR="00382A40" w:rsidRPr="00382A40" w:rsidRDefault="00382A40" w:rsidP="00384A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2A40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2A40" w:rsidRPr="00382A40" w:rsidRDefault="00382A40" w:rsidP="00384A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2A40" w:rsidRPr="00382A40" w:rsidTr="00384A79">
              <w:tc>
                <w:tcPr>
                  <w:tcW w:w="9571" w:type="dxa"/>
                </w:tcPr>
                <w:p w:rsidR="00382A40" w:rsidRPr="00382A40" w:rsidRDefault="00382A40" w:rsidP="00384A79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82A40">
                    <w:rPr>
                      <w:rFonts w:ascii="Times New Roman" w:hAnsi="Times New Roman" w:cs="Times New Roman"/>
                      <w:sz w:val="32"/>
                      <w:szCs w:val="32"/>
                    </w:rPr>
                    <w:t>БЕРЕЗОВСКИЙ ПОСЕЛКОВЫЙ СОВЕТ ДЕПУТАТОВ</w:t>
                  </w:r>
                </w:p>
              </w:tc>
            </w:tr>
            <w:tr w:rsidR="00382A40" w:rsidRPr="00382A40" w:rsidTr="00384A79">
              <w:tc>
                <w:tcPr>
                  <w:tcW w:w="9571" w:type="dxa"/>
                </w:tcPr>
                <w:p w:rsidR="00382A40" w:rsidRPr="00382A40" w:rsidRDefault="00382A40" w:rsidP="00382A4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82A40" w:rsidRPr="00382A40" w:rsidTr="00384A79">
              <w:trPr>
                <w:trHeight w:val="559"/>
              </w:trPr>
              <w:tc>
                <w:tcPr>
                  <w:tcW w:w="9571" w:type="dxa"/>
                </w:tcPr>
                <w:p w:rsidR="00382A40" w:rsidRPr="00382A40" w:rsidRDefault="00382A40" w:rsidP="00384A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2A40">
                    <w:rPr>
                      <w:rFonts w:ascii="Times New Roman" w:hAnsi="Times New Roman" w:cs="Times New Roman"/>
                      <w:sz w:val="48"/>
                      <w:szCs w:val="48"/>
                    </w:rPr>
                    <w:t>РЕШЕНИЕ</w:t>
                  </w:r>
                </w:p>
              </w:tc>
            </w:tr>
          </w:tbl>
          <w:p w:rsidR="00382A40" w:rsidRPr="00382A40" w:rsidRDefault="00382A40" w:rsidP="000D067D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A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="000D06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оселок</w:t>
            </w:r>
            <w:r w:rsidRPr="00382A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Березовка</w:t>
            </w:r>
          </w:p>
        </w:tc>
      </w:tr>
      <w:tr w:rsidR="00382A40" w:rsidRPr="00382A40" w:rsidTr="00792266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0" w:rsidRPr="00382A40" w:rsidRDefault="000D067D" w:rsidP="00507C81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612D5A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507C8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12D5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82A40" w:rsidRPr="00382A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12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82A40" w:rsidRPr="00382A4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82A40" w:rsidRPr="00382A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82A40" w:rsidRPr="00382A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82A40" w:rsidRPr="00382A4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№ </w:t>
            </w:r>
            <w:r w:rsidR="00612D5A">
              <w:rPr>
                <w:rFonts w:ascii="Times New Roman" w:hAnsi="Times New Roman" w:cs="Times New Roman"/>
                <w:sz w:val="24"/>
                <w:szCs w:val="24"/>
              </w:rPr>
              <w:t>39-</w:t>
            </w:r>
            <w:r w:rsidR="00507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382A40" w:rsidRPr="00382A40" w:rsidTr="00792266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0" w:rsidRPr="00382A40" w:rsidRDefault="00382A40" w:rsidP="00384A79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40" w:rsidRPr="00382A40" w:rsidTr="00792266">
        <w:trPr>
          <w:trHeight w:val="559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40" w:rsidRPr="00382A40" w:rsidRDefault="003842B4" w:rsidP="0027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</w:t>
            </w:r>
            <w:r w:rsidR="00B636A6">
              <w:rPr>
                <w:rFonts w:ascii="Times New Roman" w:hAnsi="Times New Roman" w:cs="Times New Roman"/>
                <w:sz w:val="24"/>
                <w:szCs w:val="24"/>
              </w:rPr>
              <w:t>ешение Березовского поселкового Совета депутатов от 18.12.2023 № 35-10 «</w:t>
            </w:r>
            <w:r w:rsidR="00382A40" w:rsidRPr="00382A40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местных налогах на территории муниципального образования поселок Березовка</w:t>
            </w:r>
            <w:r w:rsidR="00B636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92266" w:rsidRPr="00382A40" w:rsidRDefault="00382A40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2 статьи 406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23.11.2020 № 374-ФЗ (ред. от 26.03.2022) «О внесении изменений</w:t>
      </w:r>
      <w:r w:rsidR="00100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первую и вторую Налогового кодекса Российской Федерации», Законом Красноярского края от 01.11.2018 № 6-2108 «Об установлении единой даты начала применения на территории Красноярского</w:t>
      </w:r>
      <w:proofErr w:type="gramEnd"/>
      <w:r w:rsidR="00100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 определения налоговой базы по налогу на имущество физических лиц </w:t>
      </w:r>
      <w:proofErr w:type="gramStart"/>
      <w:r w:rsidR="00100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кадастровой стоимости объектов налогообложения» на основании Устава  </w:t>
      </w:r>
      <w:r w:rsidR="00792266"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– поселок Березовка</w:t>
      </w:r>
      <w:r w:rsidR="00100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Березовского района Красноярского края</w:t>
      </w:r>
      <w:r w:rsidR="00792266"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целях упорядочения уплаты местных налогов Березовский поселковый Совет депутатов </w:t>
      </w:r>
      <w:r w:rsidR="00E843A9" w:rsidRPr="00E84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792266" w:rsidRPr="00100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ешил</w:t>
      </w:r>
      <w:proofErr w:type="gramEnd"/>
      <w:r w:rsidR="00792266" w:rsidRPr="00100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843A9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B63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</w:t>
      </w:r>
      <w:r w:rsidR="00E8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</w:t>
      </w:r>
      <w:r w:rsidR="00B63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Решение Березовского поселкового Совета депутатов от 18.12.2023 № 35-10 «Об у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</w:t>
      </w:r>
      <w:r w:rsidR="00B63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ждении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anchor="Par49" w:history="1">
        <w:r w:rsidR="00B636A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положения</w:t>
        </w:r>
      </w:hyperlink>
      <w:r w:rsidRPr="00364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местных налогах на территории муниципального образования поселок Березовка</w:t>
      </w:r>
      <w:r w:rsidR="00B63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8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2266" w:rsidRDefault="00E843A9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подпункт 1.7.</w:t>
      </w:r>
      <w:r w:rsidR="00B63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пункта 1 «НАЛОГ НА ИМУЩЕСТВО ФИЗИЧЕСКИХ ЛИЦ» раздела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E84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843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 МЕСТНЫХ НАЛОГОВ НА ТЕРРИТОРИИ МУНИЦИПАЛЬНОГО ОБРАЗОВАНИЯ ПОСЕЛОК БЕРЕЗОВКА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добавить следующие абзацы:</w:t>
      </w:r>
    </w:p>
    <w:p w:rsidR="00E843A9" w:rsidRDefault="00E843A9" w:rsidP="00E84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Проактивный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беззаявительный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порядок предоставления льгот по имущественным налогам осуществляется в рамках информационного обмена налоговой службы с другими госорганами (территориальным отделением Социального фонда, территориальным отделением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территориальным военным комиссариатом), льгота предоставляется, начиная с периода в котором у человека возникло право на нее.</w:t>
      </w:r>
    </w:p>
    <w:p w:rsidR="00E843A9" w:rsidRPr="00382A40" w:rsidRDefault="00E843A9" w:rsidP="00E84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налоговые органы в рамках межведомственного взаимодействия не поступили сведения о лицах, относящихся к льготным категориям, налогоплательщик вправе обратиться в любой налоговый орган с заявлением о предоставлении имеющейся у него льготы, указав документы-основания для ее предоставления. Если такие документы у налоговых органов отсутствуют, в том числе не представлены налогоплательщиком, то налоговый орган по информации, указанной в заявлении гражданина, запрашивает сведения, подтверждающие право на льготу, у органов и иных лиц. По результатам </w:t>
      </w:r>
      <w:r>
        <w:rPr>
          <w:rFonts w:ascii="Times New Roman" w:hAnsi="Times New Roman" w:cs="Times New Roman"/>
          <w:sz w:val="24"/>
          <w:szCs w:val="24"/>
        </w:rPr>
        <w:lastRenderedPageBreak/>
        <w:t>рассмотрения заявления о предоставлении льготы физическому лицу направляется уведомление о ее предоставлении либо сообщение о мотивированном отказе в этом».</w:t>
      </w:r>
    </w:p>
    <w:p w:rsidR="00792266" w:rsidRPr="00382A40" w:rsidRDefault="00792266" w:rsidP="00792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gramStart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исполнением </w:t>
      </w: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возложить на комиссию по бюджету, экономическому развитию и муниципальной собственности Березовского поселкового Совета депутатов.</w:t>
      </w:r>
    </w:p>
    <w:p w:rsidR="009311BA" w:rsidRPr="000A0F79" w:rsidRDefault="00792266" w:rsidP="000A0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="000A0F79" w:rsidRPr="000A0F79">
        <w:rPr>
          <w:rFonts w:ascii="Times New Roman" w:hAnsi="Times New Roman" w:cs="Times New Roman"/>
          <w:sz w:val="24"/>
          <w:szCs w:val="24"/>
        </w:rPr>
        <w:t>Настоящее Решение вступает в силу со следующего дня после официального опубликования в районной газете «Пригород».</w:t>
      </w:r>
    </w:p>
    <w:p w:rsidR="00643801" w:rsidRPr="000A0F79" w:rsidRDefault="00643801" w:rsidP="00792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801" w:rsidRDefault="00643801" w:rsidP="00792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266" w:rsidRPr="00382A40" w:rsidRDefault="00792266" w:rsidP="00792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11BA" w:rsidTr="00643801">
        <w:tc>
          <w:tcPr>
            <w:tcW w:w="4785" w:type="dxa"/>
          </w:tcPr>
          <w:p w:rsidR="009311BA" w:rsidRDefault="009311BA" w:rsidP="0027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Глав</w:t>
            </w:r>
            <w:r w:rsidR="000A0F7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поселка Березовка</w:t>
            </w:r>
          </w:p>
          <w:p w:rsidR="009311BA" w:rsidRDefault="009311BA" w:rsidP="0027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643801" w:rsidRDefault="00643801" w:rsidP="0027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0D067D" w:rsidRDefault="000D067D" w:rsidP="0027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9311BA" w:rsidRPr="009311BA" w:rsidRDefault="009311BA" w:rsidP="0027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_______________ </w:t>
            </w:r>
            <w:r w:rsidR="00146B6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А.Н. Сабуров</w:t>
            </w:r>
          </w:p>
        </w:tc>
        <w:tc>
          <w:tcPr>
            <w:tcW w:w="4786" w:type="dxa"/>
          </w:tcPr>
          <w:p w:rsidR="009311BA" w:rsidRDefault="00643801" w:rsidP="0027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Председатель</w:t>
            </w:r>
          </w:p>
          <w:p w:rsidR="00643801" w:rsidRDefault="00643801" w:rsidP="0027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Березовского поселкового</w:t>
            </w:r>
          </w:p>
          <w:p w:rsidR="00643801" w:rsidRDefault="00643801" w:rsidP="0027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Совета депутатов</w:t>
            </w:r>
          </w:p>
          <w:p w:rsidR="00643801" w:rsidRDefault="00643801" w:rsidP="0027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643801" w:rsidRPr="009311BA" w:rsidRDefault="00643801" w:rsidP="0027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__________________ С.С. Свиридов</w:t>
            </w:r>
          </w:p>
        </w:tc>
      </w:tr>
    </w:tbl>
    <w:p w:rsidR="00792266" w:rsidRPr="00382A40" w:rsidRDefault="00792266" w:rsidP="00792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t> </w:t>
      </w:r>
    </w:p>
    <w:p w:rsidR="00792266" w:rsidRPr="00382A40" w:rsidRDefault="00792266" w:rsidP="00792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82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3801" w:rsidRDefault="00643801" w:rsidP="00792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801" w:rsidRDefault="00643801" w:rsidP="00792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801" w:rsidRDefault="00643801" w:rsidP="00792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801" w:rsidRDefault="00643801" w:rsidP="00792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801" w:rsidRDefault="00643801" w:rsidP="007922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43801" w:rsidSect="00A9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266"/>
    <w:rsid w:val="000663FC"/>
    <w:rsid w:val="000A0F79"/>
    <w:rsid w:val="000D067D"/>
    <w:rsid w:val="000E2C12"/>
    <w:rsid w:val="00100BC1"/>
    <w:rsid w:val="001360CC"/>
    <w:rsid w:val="00146B69"/>
    <w:rsid w:val="00190603"/>
    <w:rsid w:val="00254FFF"/>
    <w:rsid w:val="0027564C"/>
    <w:rsid w:val="002C3156"/>
    <w:rsid w:val="002E5B54"/>
    <w:rsid w:val="003575A5"/>
    <w:rsid w:val="00364596"/>
    <w:rsid w:val="00375BA8"/>
    <w:rsid w:val="00382A40"/>
    <w:rsid w:val="003842B4"/>
    <w:rsid w:val="004B4808"/>
    <w:rsid w:val="004E70CB"/>
    <w:rsid w:val="00507C81"/>
    <w:rsid w:val="00552B4B"/>
    <w:rsid w:val="00572A94"/>
    <w:rsid w:val="00582BB2"/>
    <w:rsid w:val="005D7888"/>
    <w:rsid w:val="005E383C"/>
    <w:rsid w:val="00612D5A"/>
    <w:rsid w:val="0063090E"/>
    <w:rsid w:val="00643801"/>
    <w:rsid w:val="00792266"/>
    <w:rsid w:val="007C159A"/>
    <w:rsid w:val="007F566A"/>
    <w:rsid w:val="00830F1B"/>
    <w:rsid w:val="00863806"/>
    <w:rsid w:val="009311BA"/>
    <w:rsid w:val="00935B40"/>
    <w:rsid w:val="009E52E1"/>
    <w:rsid w:val="00A40D0E"/>
    <w:rsid w:val="00A93272"/>
    <w:rsid w:val="00A94734"/>
    <w:rsid w:val="00AC2C90"/>
    <w:rsid w:val="00B261A5"/>
    <w:rsid w:val="00B42E63"/>
    <w:rsid w:val="00B636A6"/>
    <w:rsid w:val="00B64DA1"/>
    <w:rsid w:val="00C10EC6"/>
    <w:rsid w:val="00C12241"/>
    <w:rsid w:val="00C66E39"/>
    <w:rsid w:val="00C94004"/>
    <w:rsid w:val="00D9416D"/>
    <w:rsid w:val="00DF219B"/>
    <w:rsid w:val="00E52297"/>
    <w:rsid w:val="00E843A9"/>
    <w:rsid w:val="00F47FF5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9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9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2266"/>
    <w:rPr>
      <w:color w:val="0000FF"/>
      <w:u w:val="single"/>
    </w:rPr>
  </w:style>
  <w:style w:type="character" w:customStyle="1" w:styleId="1">
    <w:name w:val="Гиперссылка1"/>
    <w:basedOn w:val="a0"/>
    <w:rsid w:val="00792266"/>
  </w:style>
  <w:style w:type="paragraph" w:customStyle="1" w:styleId="consplustitle">
    <w:name w:val="consplustitle"/>
    <w:basedOn w:val="a"/>
    <w:rsid w:val="0079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9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A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1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75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4161-E142-47CF-90A1-AB1D6049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2024-07-02T08:19:00Z</cp:lastPrinted>
  <dcterms:created xsi:type="dcterms:W3CDTF">2024-06-24T06:16:00Z</dcterms:created>
  <dcterms:modified xsi:type="dcterms:W3CDTF">2024-08-12T08:17:00Z</dcterms:modified>
</cp:coreProperties>
</file>